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Управление сестринской деятельностью (маг)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25.07.2026, 02:04 МСК · База обновлена: 25.07.2026, 02:03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1001" w:name="case_0001"/>
      <w:r>
        <w:t>Ситуационная задача 0001</w:t>
      </w:r>
      <w:bookmarkEnd w:id="1001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"Детская городская поликлиника № 99" при проведении внутреннего контроля качества, безопасности медицинской деятельности и оценки качества организации иммунопрофилактики отметила следующие факты:</w:t>
      </w:r>
    </w:p>
    <w:p>
      <w:pPr>
        <w:spacing w:after="58"/>
      </w:pPr>
      <w:r>
        <w:rPr>
          <w:b w:val="0"/>
          <w:i w:val="0"/>
        </w:rPr>
        <w:t>* температура в холодильнике с вакцинами измеряется раз в три дня;</w:t>
      </w:r>
    </w:p>
    <w:p>
      <w:pPr>
        <w:spacing w:after="58"/>
      </w:pPr>
      <w:r>
        <w:rPr>
          <w:b w:val="0"/>
          <w:i w:val="0"/>
        </w:rPr>
        <w:t>* в холодильнике имеется запас медицинских иммунобиологических препаратов, превышающий месячный;</w:t>
      </w:r>
    </w:p>
    <w:p>
      <w:pPr>
        <w:spacing w:after="58"/>
      </w:pPr>
      <w:r>
        <w:rPr>
          <w:b w:val="0"/>
          <w:i w:val="0"/>
        </w:rPr>
        <w:t>Медицинской сестре было поручено транспортировать вакцины в другой филиал, для чего она упаковала ампулы с вакцинами в пластиковый пакет.</w:t>
      </w:r>
    </w:p>
    <w:p>
      <w:pPr>
        <w:spacing w:after="58"/>
      </w:pPr>
      <w:r>
        <w:rPr>
          <w:b w:val="0"/>
          <w:i w:val="0"/>
        </w:rPr>
        <w:t>Подготовка шприцев и оснащения к проведению вакцинации проводилась над раковиной и на подоконнике. На многодозовых флаконах в холодильнике отмечена вчерашняя дата вскрытия.</w:t>
      </w:r>
    </w:p>
    <w:p>
      <w:pPr>
        <w:spacing w:after="58"/>
      </w:pPr>
      <w:r>
        <w:rPr>
          <w:b w:val="0"/>
          <w:i w:val="0"/>
        </w:rPr>
        <w:t>Генеральная уборка холодильника, по данным записи журнала, проводится один раз в месяц.</w:t>
      </w:r>
    </w:p>
    <w:p>
      <w:pPr>
        <w:spacing w:after="58"/>
      </w:pPr>
      <w:r>
        <w:rPr>
          <w:b w:val="0"/>
          <w:i w:val="0"/>
        </w:rPr>
        <w:t>Медицинская сестра кабинета иммунопрофилактики заранее набрала несколько шприцев с вакциной и поместила их на стерильном столике, так как к ней на прием были записаны несколько человек подряд по времени. Вакцинация была начата сразу после уточнения фамилии пациента.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Все манипуляции с вакцинами проводятся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лотках, расположенных на письменном столе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подоконнике кабинета иммунопрофилактики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промаркированных столах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кушетке, стоящей в кабинете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специально промаркированных столах</w:t>
      </w:r>
    </w:p>
    <w:p>
      <w:pPr>
        <w:ind w:left="504"/>
      </w:pPr>
      <w:r>
        <w:rPr>
          <w:b w:val="0"/>
          <w:i/>
        </w:rPr>
        <w:t>«Все манипуляции с вакцинами проводятся только на специально отведенном столе (столах)»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Иммунизацию в медицинских организациях проводят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кабинете старшей медицинской сестры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процедурном кабинете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 оборудованных прививочных кабинетах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свободном/не занятом кабинете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специально оборудованных прививочных кабинетах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«4213. Профилактические прививки проводятся в прививочных кабинетах медицинских организаций, не допускается проведение прививок в процедурных кабинетах за исключением сельских медицинских организаций (фельдшерско-акушерских пунктов), в которых устанавливается график проведения процедур и иммунизации населения, исключающий одновременное их проведение, и предусматривающий обязательную влажную уборку помещения с применением дезинфицирующих средств и обеззараживанием воздуха после проведения процедур до начала иммунизации»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Заблаговременный набор вакцины в шприцы и последующее хранение вакцины в шприцах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 категорически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 допускается категорически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«4227. Не разрешается заблаговременный набор вакцины в шприцы и последующее хранение вакцины в шприцах»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Открытые флаконы с вакциной в конце рабочего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уничтожают в соответствии с установленными требованиями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оставляют на манипуляционном столике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ставят в стеклянный шкаф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помещают в холодильник для дальнейшего использования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уничтожают в соответствии с установленными требованиями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«4224. Открытые флаконы с вакциной в конце рабочего дня уничтожают в соответствии с обязательными требованиями»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5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Вакцина из многодозных флаконов используется в течение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недели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рабочего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15 минут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трех часов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рабочего дня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«4223. Вакцина из многодозных флаконов может использоваться в течение рабочего дня в соответствии с инструкцией по ее применению при соблюдении следующих условий:</w:t>
        <w:br/>
        <w:br/>
        <w:t>* забор каждой дозы вакцины из флакона осуществляется с соблюдением правил асептики;</w:t>
        <w:br/>
        <w:t>* вакцины хранятся при соответствующей температуре (от +2°С до +8°С);</w:t>
        <w:br/>
        <w:t>* восстановленные вакцины используются немедленно и хранению не подлежат..»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2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Максимальный срок хранения медицинских иммунобиологических препаратов в медицинских организациях, где проводятся профилактические прививки, составляет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10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 дня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1 месяц</w:t>
      </w:r>
    </w:p>
    <w:p>
      <w:pPr>
        <w:ind w:left="504"/>
      </w:pPr>
      <w:r>
        <w:rPr>
          <w:b w:val="0"/>
          <w:i/>
        </w:rPr>
        <w:t>«Максимальный срок хранения вакцин в учреждениях, где проводят профилактические прививки, составляет 1 мес. В труднодоступных районах данный срок хранения может быть увеличен до 3 мес.»</w:t>
        <w:br/>
        <w:br/>
        <w:t>Эпидемиология: Учебник: В 2 т. Т. 1 / Н.И. Брико, Л.П. Зуева, В.И. Покровский, В.П. Сергиев, В.В. Шкарин. — М.: ООО «Издательство «Медицинское информационное агентство», 2013. — 832 с.: ил.</w:t>
        <w:br/>
        <w:br/>
      </w:r>
      <w:hyperlink r:id="rId2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Перед проведением прививки медицинская сестра-вакцинатор должна проверить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</w:t>
        <w:br/>
        <w:br/>
        <w:t>* проверяет наличие заключения врача о допуске к прививке;</w:t>
        <w:br/>
        <w:t>*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</w:t>
        <w:br/>
        <w:t>* визуально оценивает качество препарата (путем встряхивания сорбированных вакцин</w:t>
        <w:br/>
        <w:t>и после растворения лиофилизированных вакцин).»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2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Температура в холодильнике, где хранятся вакцины измеряется +_____+ раз(-а) в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2</w:t>
      </w:r>
    </w:p>
    <w:p>
      <w:pPr>
        <w:ind w:left="504"/>
      </w:pPr>
      <w:r>
        <w:rPr>
          <w:b w:val="0"/>
          <w:i/>
        </w:rPr>
        <w:t>«Температурный режим хранения вакцин в холодильнике контролируют дважды в сутки. Показания термометра заносят в журнал регистрации температурного режима холодильника. В процессе хранения препаратов следует проводить их выборочный визуальный контроль не реже 1 раза в месяц. При аварийном или плановом (на мойку) отключении холодильника вакцины следует хранить в термоконтейнерах с хладоэлементами. Аварийное или плановое отключение холодильника фиксируют в журнале регистрации температурного режима холодильника»</w:t>
        <w:br/>
        <w:br/>
        <w:t>Зверев, В. В. Вакцины и вакцинация: Национальное руководство. Краткое издание / под ред. В. В. Зверева, Р. М. Хаитова - Москва: ГЭОТАР-Медиа, 2014. - 640 с. - ISBN 978-5-9704-2866-5.</w:t>
        <w:br/>
        <w:br/>
      </w:r>
      <w:hyperlink r:id="rId3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Генеральная уборка холодильника для вакцин проводится _____ раз(а)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2;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3; полгода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1; 15 дней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1;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1; месяц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"4310. Текущая уборка в холодильных камерах (комнатах) осуществляется по мере необходимости; генеральная уборка проводится не реже одного раза в месяц."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2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Транспортирование медицинских иммунобиологических препаратов должно осуществляться при соблюдении температурного режима, для чего в каждый контейнер с вакциной вкладывают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ртутный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инфракрасный термометр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электронный термометр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термоиндикатор</w:t>
      </w:r>
    </w:p>
    <w:p>
      <w:pPr>
        <w:ind w:left="504"/>
      </w:pPr>
      <w:r>
        <w:rPr>
          <w:b w:val="0"/>
          <w:i/>
        </w:rPr>
        <w:t>Санитарные правила и нормы СанПиН 3.3686-21 «Санитарно-эпидемиологические требования по профилактике инфекционных болезней»</w:t>
        <w:br/>
        <w:br/>
        <w:t>«Хранение и транспортирование иммунобиологических лекарственных препаратов, предназначенных для иммунизации населения, на всех этапах должно осуществляться с соблюдением температурных режимов хранения и транспортирования»</w:t>
        <w:br/>
        <w:br/>
        <w:t>"4267. Для транспортирования обычным (не рефрижераторным) транспортом ИЛП упаковываются в специальные термоконтейнеры, обеспечивающие соблюдение требуемого интервала температур в течение всего времени транспортирования с учетом сезонных колебаний температуры в конкретной климатической зоне."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Лиофилизированная вакцина хранится в кабинете иммунопрофилактики на(в)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дверце холодильника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верхней полке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нижней полке шкафа в кабинете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сейфе кабинета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верхней полке холодильника</w:t>
      </w:r>
    </w:p>
    <w:p>
      <w:pPr>
        <w:ind w:left="504"/>
      </w:pPr>
      <w:r>
        <w:rPr>
          <w:b w:val="0"/>
          <w:i/>
        </w:rPr>
        <w:t>«Совместное хранение МИБП с другими медицинскими препаратами не допускается. Препараты одного наименования располагаются по сериям, с учетом срока годности. Вакцины разных наименований хранятся в одном холодильнике на разных маркированных полках. В морозильной камере хранят холодовые элементы, заполняя камеру постепенно во избежание повышения температуры и располагая их в положении на боку так, чтобы между ними оставалось место для циркуляции воздуха. В холодильной камере на верхней полке лежат живые вирусные вакцины против полиомиелита и кори; на средней полке - неадсорбированные вакцины; на нижней полке - вакцина против коклюша, дифтерии и столбняка (АКДС) и другие неадсорбированные препараты, растворители; вакцину БЦЖ хранят в отдельном холодильнике на средней полке. Хранение МИБП на дверной панели холодильника не допускается. Выборочный визуальный контроль МИБП в процессе хранения осуществляется не реже чем 1 раз в месяц. Первоочередность использования вакцин определяется сроками годности».</w:t>
        <w:br/>
        <w:br/>
        <w:t>Справочник главной медицинской сестры / под ред. С. И. Двойникова. - 2-е изд. , перераб. и доп. - Москва : ГЭОТАР-Медиа, 2020. - 320 с. - ISBN 978-5-9704-5772-6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составляет +____________+ и вносит предложения по устранению выявленных нарушений, в т.ч. по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отчет; наложению дисциплинарного взыскания на медицинскую сестру кабинета вакцинопрофилактики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протокол; 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акт; информированию средств массовой информации о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справку; выработке плана развития медицинской организации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отчет; наложению дисциплинарного взыскания на медицинскую сестру кабинета вакцинопрофилактики</w:t>
      </w:r>
    </w:p>
    <w:p>
      <w:pPr>
        <w:ind w:left="504"/>
      </w:pPr>
      <w:r>
        <w:rPr>
          <w:b w:val="0"/>
          <w:i/>
        </w:rPr>
        <w:t>Приказ от 31 июля 2020 г. № 785н "об утверждении требований к организации и проведению внутреннего контроля качества и безопасности медицинской деятельности"</w:t>
        <w:br/>
        <w:br/>
        <w:t>«20. По результатам плановых и целевых (внеплановых) проверок Комиссией (Службой) и (или) Уполномоченным лицом составляется отчет, включающий в том числе выработку мероприятий по устранению выявленных нарушений и улучшению деятельности медицинской организации и медицинских работников».</w:t>
        <w:br/>
        <w:br/>
        <w:t>Трудовой кодекс Российской Федерации от 30.12.2001 N 197-ФЗ статья 192. Дисциплинарные взыскания:</w:t>
        <w:br/>
        <w:br/>
        <w:t>«За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основаниям».</w:t>
        <w:br/>
        <w:br/>
      </w:r>
      <w:hyperlink r:id="rId35">
        <w:r>
          <w:rPr>
            <w:color w:val="173C49"/>
            <w:u w:val="single"/>
          </w:rPr>
          <w:t>ПРИКАЗ от 31 июля 2020 г. N 785н "ОБ УТВЕРЖДЕНИИ ТРЕБОВАНИЙ К ОРГАНИЗАЦИИ И ПРОВЕДЕНИЮ ВНУТРЕННЕГО КОНТРОЛЯ КАЧЕСТВА И БЕЗОПАСНОСТИ МЕДИЦИНСКОЙ ДЕЯТЕЛЬНОСТИ"</w:t>
        </w:r>
      </w:hyperlink>
      <w:r>
        <w:rPr>
          <w:b w:val="0"/>
          <w:i/>
        </w:rPr>
        <w:t xml:space="preserve"> </w:t>
      </w:r>
      <w:hyperlink r:id="rId36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37">
        <w:r>
          <w:rPr>
            <w:color w:val="173C49"/>
            <w:u w:val="single"/>
          </w:rPr>
          <w:t>Трудовой кодекс Российской Федерации от 30.12.2001 N 197-ФЗ (ред. от 25.12.2023) (с изм. и доп., вступ. в силу с 01.01.2024)</w:t>
        </w:r>
      </w:hyperlink>
      <w:r>
        <w:rPr>
          <w:b w:val="0"/>
          <w:i/>
        </w:rPr>
        <w:t xml:space="preserve"> </w:t>
      </w:r>
      <w:hyperlink r:id="rId38">
        <w:r>
          <w:rPr>
            <w:color w:val="173C49"/>
            <w:u w:val="single"/>
          </w:rPr>
          <w:t>(1)</w:t>
        </w:r>
      </w:hyperlink>
    </w:p>
    <w:p>
      <w:r>
        <w:br w:type="page"/>
      </w:r>
    </w:p>
    <w:p>
      <w:pPr>
        <w:pStyle w:val="Heading1"/>
      </w:pPr>
      <w:bookmarkStart w:id="1002" w:name="case_0002"/>
      <w:r>
        <w:t>Ситуационная задача 0002</w:t>
      </w:r>
      <w:bookmarkEnd w:id="1002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Управление сестринской деятельностью (маг)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Главная медицинская сестра ГБУЗ «Городская поликлиника» в рамках оценки внутреннего контроля качества и безопасности медицинской деятельности проводит проверку деятельности медицинского персонала кабинета вакцинопрофилактики для оценки качества организации иммунопрофилактики.</w:t>
      </w:r>
    </w:p>
    <w:p>
      <w:pPr>
        <w:spacing w:after="58"/>
      </w:pPr>
      <w:r>
        <w:rPr>
          <w:b w:val="0"/>
          <w:i w:val="0"/>
        </w:rPr>
        <w:t>В рамках проверки были отмечено, что медицинская сестра не может ответить на вопросы родителей и путает даты вакцинации и ревакцинации от распространенных «детских» инфекционных заболеваний.</w:t>
      </w:r>
    </w:p>
    <w:p>
      <w:pPr>
        <w:spacing w:after="58"/>
      </w:pPr>
      <w:r>
        <w:rPr>
          <w:b w:val="0"/>
          <w:i w:val="0"/>
        </w:rPr>
        <w:t>Отмечены ошибки в расположении оснащения – холодильник с хранящимися в нем вакцинами плотно прижат к стене, а «холодовая цепь» контролируется с помощью ртутного термометра.</w:t>
      </w:r>
    </w:p>
    <w:p>
      <w:pPr>
        <w:spacing w:after="58"/>
      </w:pPr>
      <w:r>
        <w:rPr>
          <w:b w:val="0"/>
          <w:i w:val="0"/>
        </w:rPr>
        <w:t>Медсестра-вакцинатор принимала пациентов без медицинской шапочки. Отмечен факт хранения вакцины в дверце холодильника.</w:t>
      </w:r>
    </w:p>
    <w:p>
      <w:pPr>
        <w:spacing w:after="58"/>
      </w:pPr>
      <w:r>
        <w:rPr>
          <w:b w:val="0"/>
          <w:i w:val="0"/>
        </w:rPr>
        <w:t>Во флаконе с вакцинами медицинская сестра оставила иглу, чтобы набирать дозу следующим пациентам.</w:t>
      </w:r>
    </w:p>
    <w:p>
      <w:pPr>
        <w:spacing w:after="58"/>
      </w:pPr>
      <w:r>
        <w:rPr>
          <w:b w:val="0"/>
          <w:i w:val="0"/>
        </w:rPr>
        <w:t>Ребенку, которому нужно было в этот день провести две процедуры вакцинации, медсестра набрала вакцину поочередно в один шприц. Кроме того, использовались разные вакцины и растворители для их разведения, набирались они из неполных флаконов.</w:t>
      </w:r>
    </w:p>
    <w:p>
      <w:pPr>
        <w:spacing w:after="58"/>
      </w:pPr>
      <w:r>
        <w:rPr>
          <w:b w:val="0"/>
          <w:i w:val="0"/>
        </w:rPr>
        <w:t>Было установлено, что из-за нехватки персонала медицинская сестра была переведена из педиатрического отделения в кабинет вакцинопрофилактики.</w:t>
      </w:r>
    </w:p>
    <w:p>
      <w:pPr>
        <w:pStyle w:val="Heading2"/>
      </w:pPr>
      <w:r>
        <w:t>1. Управление медицинской организацией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Медицинский персонал должен осуществлять иммунизацию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специальной медицинской одежде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специальной медицинской одежде (халате и шапочке) и 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нестерильных диагностических перчатках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стерильных диагностических перчатках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специальной медицинской одежде (халате и шапочке) и нестерильных диагностических перчатках</w:t>
      </w:r>
    </w:p>
    <w:p>
      <w:pPr>
        <w:ind w:left="504"/>
      </w:pPr>
      <w:r>
        <w:rPr>
          <w:b w:val="0"/>
          <w:i/>
        </w:rPr>
        <w:t>"4243. Медицинский персонал должен осуществлять иммунизацию в специальной медицинской одежде (халате и шапочке) и нестерильных диагностических перчатках. Перчатки необходимо менять после каждого пациента. Гигиеническая обработка рук медицинского персонала проводится в соответствии с требованиями Санитарных правил."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3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объективного контроля температурного режима «холодовой цепи» используют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электронные термометры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газовые анализаторы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термоиндикаторы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ртутные градусники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термоиндикаторы</w:t>
      </w:r>
    </w:p>
    <w:p>
      <w:pPr>
        <w:ind w:left="504"/>
      </w:pPr>
      <w:r>
        <w:rPr>
          <w:b w:val="0"/>
          <w:i/>
        </w:rPr>
        <w:t>"4266. В системе «холодовой цепи» для транспортирования ИЛП используется следующее оборудование:термоконтейнеры"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0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Вакцинацию осуществляют медицинские работники,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имеющие базовое среднее профессиональное образование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обученные правилам организации и техники проведения прививок, а также приемам неотложной помощи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прошедшие обучение в виде повышения квалификации по специальности «Лечебное дело»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имеющие обучение в виде повышения квалификации по специальности «Сестринское дело»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обученные правилам организации и техники проведения прививок, а также приемам неотложной помощи</w:t>
      </w:r>
    </w:p>
    <w:p>
      <w:pPr>
        <w:ind w:left="504"/>
      </w:pPr>
      <w:r>
        <w:rPr>
          <w:b w:val="0"/>
          <w:i/>
        </w:rPr>
        <w:t>"4204. Профилактические прививки проводят медицинские работники, обученные правилам организации и техники проведения прививок, а также приемам неотложной помощи в случае возникновения побочных проявлений после иммунизации и имеющие документальное подтверждение прохождения обучения"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1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Введение вакцин (кроме вакцин для профилактики туберкулеза), применяемых в рамках национального календаря профилактических прививок, в один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разными шприцами в один участок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допускается одним шприцем в одно и то же место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категорически не допускается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допускается разными шприцами в разные участки тела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допускается разными шприцами в разные участки тела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20.12.2021г.№66435),</w:t>
        <w:br/>
        <w:br/>
        <w:t>«Национальный календарь прививок, таблица.»</w:t>
        <w:br/>
        <w:br/>
        <w:t>"8.При изменении сроков вакцинации ее проводят по схемам, предусмотренным национальным календарем профилактических прививок, утвержденным настоящим приказом, настоящим порядком, и в соответствии с инструкциями по применению иммунобиологических лекарственных препаратов для иммунопрофилактики. Допускается введение вакцин (за исключением вакцин для профилактики туберкулеза), применяемых в рамках национального календаря профилактических прививок и календаря профилактических прививок по эпидемическим показаниям, в один день разными шприцами в разные участки тела."</w:t>
        <w:br/>
        <w:br/>
      </w:r>
      <w:hyperlink r:id="rId42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43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Интервал между первой и второй прививками против кори должен составлять не менее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 месяцев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60 суток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30 дней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3 месяцев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</w:r>
      <w:hyperlink r:id="rId42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Вакцинация против вирусного гепатита B проводится по схеме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0-1-6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0-3-6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0-1-9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0-6-12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0-1-6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  <w:t>"11.Вакцинация против вирусного гепатита В детей первого года жизни проводится по схеме 0-1-6 (1-я доза - в момент начала вакцинации, 2-я доза - через месяц после 1-й прививки, 3-я доза - через 6 месяцев от начала вакцинации). +</w:t>
        <w:br/>
        <w:t>Вакцинация против вирусного гепатита В детей, относящихся к группам риска (родившимся от матерей - носителей HBsAg, больных вирусным гепатитом В или перенесших вирусный гепатит В в третьем триместре беременности, не имеющих результатов обследования на маркеры гепатита В, потребляющих наркотические средства или психотропные вещества, из семей, в которых есть носитель HBsAg или больной острым вирусным гепатитом В и хроническими вирусными гепатитами), проводится по схеме 0-1-2-12 (1-я доза - в момент начала вакцинации, 2-я доза - через месяц после 1-й прививки, 3-я доза - через 2 месяца от начала вакцинации, 4-я доза - через 12 месяцев от начала вакцинации)."</w:t>
        <w:br/>
        <w:br/>
      </w:r>
      <w:hyperlink r:id="rId42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44">
        <w:r>
          <w:rPr>
            <w:color w:val="173C49"/>
            <w:u w:val="single"/>
          </w:rPr>
          <w:t>(1)</w:t>
        </w:r>
      </w:hyperlink>
      <w:r>
        <w:rPr>
          <w:b w:val="0"/>
          <w:i/>
        </w:rPr>
        <w:t xml:space="preserve"> </w:t>
      </w:r>
      <w:hyperlink r:id="rId45">
        <w:r>
          <w:rPr>
            <w:color w:val="173C49"/>
            <w:u w:val="single"/>
          </w:rPr>
          <w:t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Вакцинация против туберкулеза проводится новорожденным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1-2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на 8-10 день жизни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 3-7 день жизни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 1 месяц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 3-7 день жизни</w:t>
      </w:r>
    </w:p>
    <w:p>
      <w:pPr>
        <w:ind w:left="504"/>
      </w:pPr>
      <w:r>
        <w:rPr>
          <w:b w:val="0"/>
          <w:i/>
        </w:rPr>
        <w:t>Согласно Приказа Минздрава России от 06.12.2021 г. № 1122н «Об утверждении национального календаря профилактических прививок и календаря профилактических прививок по эпидемическим показаниям» (Зарегистрировано в Минюсте России 20.12.2021г. № 66435),</w:t>
        <w:br/>
        <w:br/>
        <w:t>«Национальный календарь прививок, таблица.»</w:t>
        <w:br/>
        <w:br/>
        <w:t>"10. Вакцинация против туберкулеза проводится новорожденным на 3-7 день жизни вакциной для профилактики туберкулеза для щадящей первичной вакцинации (БЦЖ-М); в субъектах Российской Федерации с показателями заболеваемости, превышающими 80 на 100 тысяч населения, а также при наличии в окружении новорожденного больных туберкулезом - вакциной для профилактики туберкулеза (БЦЖ). Ревакцинация детям в 6-7 лет проводится вакциной для профилактики туберкулеза (БЦЖ). При отсутствии вакцинации против туберкулеза в родильном доме она может быть проведена в возрасте до 7 лет туберкулино-отрицательным детям."</w:t>
        <w:br/>
        <w:br/>
      </w:r>
      <w:hyperlink r:id="rId42">
        <w:r>
          <w:rPr>
            <w:color w:val="173C49"/>
            <w:u w:val="single"/>
          </w:rPr>
          <w:t>Приказ Министерства здравоохранения РФ от 6 декабря 2021 г. № 1122н "Об утверждении национального календаря профилактических прививок, календаря профилактических прививок по эпидемическим показаниям и порядка проведения профилактических прививок"</w:t>
        </w:r>
      </w:hyperlink>
      <w:r>
        <w:rPr>
          <w:b w:val="0"/>
          <w:i/>
        </w:rPr>
        <w:t xml:space="preserve"> </w:t>
      </w:r>
      <w:hyperlink r:id="rId46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Перед проведением прививки медицинский работник должен проверить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артериальное давление у пациента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номер пациента в очереди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наличие заключения врача о допуске к прививке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наличие сменной обуви у пациента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наличие заключения врача о допуске к прививке</w:t>
      </w:r>
    </w:p>
    <w:p>
      <w:pPr>
        <w:ind w:left="504"/>
      </w:pPr>
      <w:r>
        <w:rPr>
          <w:b w:val="0"/>
          <w:i/>
        </w:rPr>
        <w:t>«Перед проведением прививки вакцинатор: проверяет наличие заключения врача о допуске к прививке; сверяет наименование препарата на ампуле с назначением врача, проверяет маркировку, срок годности медицинских иммунобиологических препаратов, целость ампулы; визуально оценивает качество препарата (путем встряхивания сорбированных вакцин и после растворения лиофилизированных вакцин)."</w:t>
        <w:br/>
        <w:br/>
        <w:t>Сестринское дело в системе первичной медико-санитарной помощи населению: учебник / под ред. Н. А. Касимовской. - Москва: ГЭОТАР-Медиа, 2023. - 304 с. - ISBN 978-5-9704-7634-5, DOI: 10.33029/9704-7634-5-NMK-2023-1-304.</w:t>
        <w:br/>
        <w:br/>
      </w:r>
      <w:hyperlink r:id="rId47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Хранение медицинских иммунологических препаратов на дверной панели холодильника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регламентировано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запрещается</w:t>
      </w:r>
    </w:p>
    <w:p>
      <w:pPr>
        <w:ind w:left="504"/>
      </w:pPr>
      <w:r>
        <w:rPr>
          <w:b w:val="0"/>
          <w:i/>
        </w:rPr>
        <w:t>Хранение МИБП на дверной панели холодильника не допускается.</w:t>
        <w:br/>
        <w:br/>
        <w:t>Справочник главной медицинской сестры / под ред. С. И. Двойникова. - 2-е изд. ,перераб. и доп. - Москва : ГЭОТАР-Медиа, 2020. - 320 с. - ISBN 978-5-9704-5772-6</w:t>
        <w:br/>
        <w:br/>
      </w:r>
      <w:hyperlink r:id="rId34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Смешивать вакцины и растворители из неполных открытых флаконов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 допускается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не допускается</w:t>
      </w:r>
    </w:p>
    <w:p>
      <w:pPr>
        <w:ind w:left="504"/>
      </w:pPr>
      <w:r>
        <w:rPr>
          <w:b w:val="0"/>
          <w:i/>
        </w:rPr>
        <w:t>"4225. Не допускается смешивание вакцин и растворителей из неполных открытых флаконов."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8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Оставлять иглу в крышке флакона для взятия последующих доз вакцины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допускается для рационализации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возможно при наличии большого количества пациентов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запрещено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разрешено во время карантина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запрещено</w:t>
      </w:r>
    </w:p>
    <w:p>
      <w:pPr>
        <w:ind w:left="504"/>
      </w:pPr>
      <w:r>
        <w:rPr>
          <w:b w:val="0"/>
          <w:i/>
        </w:rPr>
        <w:t>"4233. Для забора каждой дозы вакцины из многодозового флакона используются стерильный шприц со стерильной иглой. Оставлять иглу в крышке флакона для взятия последующих доз вакцины запрещается. Для забора вакцины из флакона используется тот же шприц, который будет использован для инъекции"</w:t>
        <w:br/>
        <w:br/>
      </w:r>
      <w:hyperlink r:id="rId21">
        <w:r>
          <w:rPr>
            <w:color w:val="173C49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УТВЕРЖДЕНЫ Постановлением Главного Государственного санитарного врача Российской Федерации От 28.01.2021 №4</w:t>
        </w:r>
      </w:hyperlink>
      <w:r>
        <w:rPr>
          <w:b w:val="0"/>
          <w:i/>
        </w:rPr>
        <w:t xml:space="preserve"> </w:t>
      </w:r>
      <w:hyperlink r:id="rId49">
        <w:r>
          <w:rPr>
            <w:color w:val="173C49"/>
            <w:u w:val="single"/>
          </w:rPr>
          <w:t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По результатам плановой проверки деятельности медицинского персонала кабинетов вакцинопрофилактики в рамках внутреннего контроля качества и безопасности медицинской деятельности главная медицинская сестра вносит предложения по устранению выявленных нарушений, в т.ч. 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выработке плана развития медицинской организации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информированию органов Роспотребнадзора выявленных нарушениях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передаче материалов проверки в прокуратуру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наложению дисциплинарного взыскания на медицинскую сестру кабинета вакцинопрофилактики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наложению дисциплинарного взыскания на медицинскую сестру кабинета вакцинопрофилактики</w:t>
      </w:r>
    </w:p>
    <w:p>
      <w:pPr>
        <w:ind w:left="504"/>
      </w:pPr>
      <w:r>
        <w:rPr>
          <w:b w:val="0"/>
          <w:i/>
        </w:rPr>
        <w:t>За совершение дисциплинарного проступка, то есть неисполнение или ненадлежащее исполнение работником по его вине возложенных на него трудовых обязанностей, работодатель имеет право применить следующие дисциплинарные взыскания:</w:t>
        <w:br/>
        <w:br/>
        <w:t>1) замечание;</w:t>
        <w:br/>
        <w:br/>
        <w:t>2) выговор;</w:t>
        <w:br/>
        <w:br/>
        <w:t>3) увольнение по соответствующим основаниям.</w:t>
        <w:br/>
        <w:br/>
        <w:t>Организация и управление фармацевтической деятельностью : учебное пособие / под ред. И. А. Наркевича. - Москва : ГЭОТАР-Медиа, 2022. - 288 с. - ISBN 978-5-9704-7175-3</w:t>
        <w:br/>
        <w:br/>
      </w:r>
      <w:hyperlink r:id="rId50">
        <w:r>
          <w:rPr>
            <w:color w:val="173C49"/>
            <w:u w:val="single"/>
          </w:rPr>
          <w:t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Управление сестринской деятельностью (маг)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tom1/?anchor=paragraph_lefeei#paragraph_lefeei" TargetMode="External"/><Relationship Id="rId21" Type="http://schemas.openxmlformats.org/officeDocument/2006/relationships/hyperlink" Target="https://library.mededtech.ru/rest/documents/sanpin3686_21/" TargetMode="External"/><Relationship Id="rId22" Type="http://schemas.openxmlformats.org/officeDocument/2006/relationships/hyperlink" Target="https://library.mededtech.ru/rest/documents/sanpin3686_21/index.html#paragraph_v5i6nq" TargetMode="External"/><Relationship Id="rId23" Type="http://schemas.openxmlformats.org/officeDocument/2006/relationships/image" Target="media/image5.png"/><Relationship Id="rId24" Type="http://schemas.openxmlformats.org/officeDocument/2006/relationships/hyperlink" Target="https://library.mededtech.ru/rest/documents/sanpin3686_21/index.html#paragraph_2i241v" TargetMode="External"/><Relationship Id="rId25" Type="http://schemas.openxmlformats.org/officeDocument/2006/relationships/hyperlink" Target="https://library.mededtech.ru/rest/documents/sanpin3686_21/index.html#paragraph_9ve5m5" TargetMode="External"/><Relationship Id="rId26" Type="http://schemas.openxmlformats.org/officeDocument/2006/relationships/image" Target="media/image6.png"/><Relationship Id="rId27" Type="http://schemas.openxmlformats.org/officeDocument/2006/relationships/hyperlink" Target="https://library.mededtech.ru/rest/documents/sanpin3686_21/index.html#paragraph_pkpeel" TargetMode="External"/><Relationship Id="rId28" Type="http://schemas.openxmlformats.org/officeDocument/2006/relationships/hyperlink" Target="https://library.mededtech.ru/rest/documents/tom1/?anchor=paragraph_45ejof#paragraph_45ejof" TargetMode="External"/><Relationship Id="rId29" Type="http://schemas.openxmlformats.org/officeDocument/2006/relationships/hyperlink" Target="https://library.mededtech.ru/rest/documents/ISBN9785970476345/?anchor=paragraph_64lchf#paragraph_64lchf" TargetMode="External"/><Relationship Id="rId30" Type="http://schemas.openxmlformats.org/officeDocument/2006/relationships/hyperlink" Target="https://library.mededtech.ru/rest/documents/ISBN9785970428665/?anchor=paragraph_92darm#paragraph_92darm" TargetMode="External"/><Relationship Id="rId31" Type="http://schemas.openxmlformats.org/officeDocument/2006/relationships/image" Target="media/image7.png"/><Relationship Id="rId32" Type="http://schemas.openxmlformats.org/officeDocument/2006/relationships/hyperlink" Target="https://library.mededtech.ru/rest/documents/sanpin3686_21/index.html#paragraph_3jrph2" TargetMode="External"/><Relationship Id="rId33" Type="http://schemas.openxmlformats.org/officeDocument/2006/relationships/hyperlink" Target="https://library.mededtech.ru/rest/documents/sanpin3686_21/index.html#paragraph_01d42c" TargetMode="External"/><Relationship Id="rId34" Type="http://schemas.openxmlformats.org/officeDocument/2006/relationships/hyperlink" Target="https://library.mededtech.ru/rest/documents/ISBN9785970457726/?anchor=paragraph_3rgvd4#paragraph_3rgvd4" TargetMode="External"/><Relationship Id="rId35" Type="http://schemas.openxmlformats.org/officeDocument/2006/relationships/hyperlink" Target="https://library.mededtech.ru/rest/documents/prikaz785/" TargetMode="External"/><Relationship Id="rId36" Type="http://schemas.openxmlformats.org/officeDocument/2006/relationships/hyperlink" Target="https://library.mededtech.ru/rest/documents/prikaz785/#list_item_k1113b" TargetMode="External"/><Relationship Id="rId37" Type="http://schemas.openxmlformats.org/officeDocument/2006/relationships/hyperlink" Target="https://library.mededtech.ru/rest/documents/tdN197/" TargetMode="External"/><Relationship Id="rId38" Type="http://schemas.openxmlformats.org/officeDocument/2006/relationships/hyperlink" Target="https://library.mededtech.ru/rest/documents/tdN197/#paragraph_1193l3" TargetMode="External"/><Relationship Id="rId39" Type="http://schemas.openxmlformats.org/officeDocument/2006/relationships/hyperlink" Target="https://library.mededtech.ru/rest/documents/sanpin3686_21/index.html#paragraph_vjn7m1" TargetMode="External"/><Relationship Id="rId40" Type="http://schemas.openxmlformats.org/officeDocument/2006/relationships/hyperlink" Target="https://library.mededtech.ru/rest/documents/sanpin3686_21/index.html#paragraph_h90f85" TargetMode="External"/><Relationship Id="rId41" Type="http://schemas.openxmlformats.org/officeDocument/2006/relationships/hyperlink" Target="https://library.mededtech.ru/rest/documents/sanpin3686_21/#paragraph_n619am" TargetMode="External"/><Relationship Id="rId42" Type="http://schemas.openxmlformats.org/officeDocument/2006/relationships/hyperlink" Target="https://library.mededtech.ru/rest/documents/prikazN1122n/" TargetMode="External"/><Relationship Id="rId43" Type="http://schemas.openxmlformats.org/officeDocument/2006/relationships/hyperlink" Target="https://library.mededtech.ru/rest/documents/prikazN1122n/#list_item_ijte4i" TargetMode="External"/><Relationship Id="rId44" Type="http://schemas.openxmlformats.org/officeDocument/2006/relationships/hyperlink" Target="https://library.mededtech.ru/rest/documents/prikazN1122n/#table_hhjsdo" TargetMode="External"/><Relationship Id="rId45" Type="http://schemas.openxmlformats.org/officeDocument/2006/relationships/hyperlink" Target="https://library.mededtech.ru/rest/documents/prikazN1122n/#list_item_n67bh2" TargetMode="External"/><Relationship Id="rId46" Type="http://schemas.openxmlformats.org/officeDocument/2006/relationships/hyperlink" Target="https://library.mededtech.ru/rest/documents/prikazN1122n/#list_item_juda9v" TargetMode="External"/><Relationship Id="rId47" Type="http://schemas.openxmlformats.org/officeDocument/2006/relationships/hyperlink" Target="https://library.mededtech.ru/rest/documents/ISBN9785970476345/?anchor=list_item_kcpbe5#list_item_kcpbe5" TargetMode="External"/><Relationship Id="rId48" Type="http://schemas.openxmlformats.org/officeDocument/2006/relationships/hyperlink" Target="https://library.mededtech.ru/rest/documents/sanpin3686_21/index.html#paragraph_9tbsbp" TargetMode="External"/><Relationship Id="rId49" Type="http://schemas.openxmlformats.org/officeDocument/2006/relationships/hyperlink" Target="https://library.mededtech.ru/rest/documents/sanpin3686_21/index.html#paragraph_3qvene" TargetMode="External"/><Relationship Id="rId50" Type="http://schemas.openxmlformats.org/officeDocument/2006/relationships/hyperlink" Target="https://library.mededtech.ru/rest/documents/ISBN9785970471753/?anchor=paragraph_m7j2vd#paragraph_m7j2v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